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37" w:rsidRPr="001A1B13" w:rsidRDefault="00E21E37">
      <w:pPr>
        <w:ind w:left="-142"/>
      </w:pPr>
      <w:bookmarkStart w:id="0" w:name="_GoBack"/>
      <w:bookmarkEnd w:id="0"/>
    </w:p>
    <w:p w:rsidR="00E21E37" w:rsidRPr="001A1B13" w:rsidRDefault="00E21E37"/>
    <w:p w:rsidR="00E21E37" w:rsidRPr="001A1B13" w:rsidRDefault="00E21E37">
      <w:pPr>
        <w:ind w:left="-142"/>
        <w:sectPr w:rsidR="00E21E37" w:rsidRPr="001A1B13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:rsidR="00C62C1C" w:rsidRPr="00C62C1C" w:rsidRDefault="00C62C1C" w:rsidP="00C62C1C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62C1C">
        <w:rPr>
          <w:rFonts w:ascii="Arial" w:hAnsi="Arial" w:cs="Arial"/>
          <w:sz w:val="36"/>
          <w:szCs w:val="36"/>
        </w:rPr>
        <w:t>Indemnizaciones por razón del servicio en concepto de viajes, manutención y alojamiento</w:t>
      </w:r>
    </w:p>
    <w:p w:rsidR="00C62C1C" w:rsidRPr="00C62C1C" w:rsidRDefault="00C62C1C" w:rsidP="00C62C1C">
      <w:pPr>
        <w:spacing w:line="360" w:lineRule="auto"/>
        <w:rPr>
          <w:rFonts w:ascii="Arial" w:hAnsi="Arial" w:cs="Arial"/>
          <w:sz w:val="36"/>
          <w:szCs w:val="36"/>
        </w:rPr>
      </w:pPr>
    </w:p>
    <w:p w:rsidR="00C62C1C" w:rsidRPr="00C62C1C" w:rsidRDefault="00C62C1C" w:rsidP="00C62C1C">
      <w:pPr>
        <w:spacing w:line="360" w:lineRule="auto"/>
        <w:rPr>
          <w:rFonts w:ascii="Arial" w:hAnsi="Arial" w:cs="Arial"/>
          <w:sz w:val="36"/>
          <w:szCs w:val="36"/>
        </w:rPr>
      </w:pPr>
      <w:r w:rsidRPr="00C62C1C">
        <w:rPr>
          <w:rFonts w:ascii="Arial" w:hAnsi="Arial" w:cs="Arial"/>
          <w:sz w:val="36"/>
          <w:szCs w:val="36"/>
        </w:rPr>
        <w:t xml:space="preserve"> Información general sobre las condiciones para el devengo y las cuantías de las indemnizaciones</w:t>
      </w:r>
    </w:p>
    <w:p w:rsidR="00C62C1C" w:rsidRPr="00C62C1C" w:rsidRDefault="00C62C1C" w:rsidP="00C62C1C">
      <w:pPr>
        <w:spacing w:line="360" w:lineRule="auto"/>
        <w:rPr>
          <w:rFonts w:ascii="Arial" w:hAnsi="Arial" w:cs="Arial"/>
          <w:sz w:val="36"/>
          <w:szCs w:val="36"/>
        </w:rPr>
      </w:pPr>
    </w:p>
    <w:p w:rsidR="004E602F" w:rsidRPr="00C62C1C" w:rsidRDefault="00C62C1C" w:rsidP="00C62C1C">
      <w:pPr>
        <w:spacing w:line="360" w:lineRule="auto"/>
        <w:rPr>
          <w:rFonts w:ascii="Arial" w:hAnsi="Arial" w:cs="Arial"/>
          <w:b/>
          <w:sz w:val="24"/>
        </w:rPr>
      </w:pPr>
      <w:r w:rsidRPr="00C62C1C">
        <w:rPr>
          <w:rFonts w:ascii="Arial" w:hAnsi="Arial" w:cs="Arial"/>
          <w:b/>
          <w:sz w:val="36"/>
          <w:szCs w:val="36"/>
        </w:rPr>
        <w:t>No ha habido actividad en este sentido</w:t>
      </w:r>
    </w:p>
    <w:p w:rsidR="004E602F" w:rsidRDefault="004E602F">
      <w:pPr>
        <w:spacing w:line="360" w:lineRule="auto"/>
        <w:rPr>
          <w:rFonts w:ascii="Arial" w:hAnsi="Arial" w:cs="Arial"/>
          <w:sz w:val="24"/>
        </w:rPr>
      </w:pPr>
    </w:p>
    <w:sectPr w:rsidR="004E602F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07" w:rsidRDefault="00564207">
      <w:r>
        <w:separator/>
      </w:r>
    </w:p>
  </w:endnote>
  <w:endnote w:type="continuationSeparator" w:id="0">
    <w:p w:rsidR="00564207" w:rsidRDefault="0056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07" w:rsidRDefault="00564207">
      <w:r>
        <w:separator/>
      </w:r>
    </w:p>
  </w:footnote>
  <w:footnote w:type="continuationSeparator" w:id="0">
    <w:p w:rsidR="00564207" w:rsidRDefault="00564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1A1B13"/>
    <w:rsid w:val="00285DBF"/>
    <w:rsid w:val="00324927"/>
    <w:rsid w:val="004E602F"/>
    <w:rsid w:val="00564207"/>
    <w:rsid w:val="007D7944"/>
    <w:rsid w:val="00A55A41"/>
    <w:rsid w:val="00B21FD2"/>
    <w:rsid w:val="00C62C1C"/>
    <w:rsid w:val="00E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229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2019-04-11T09:05:00Z</dcterms:created>
  <dcterms:modified xsi:type="dcterms:W3CDTF">2019-04-11T09:06:00Z</dcterms:modified>
</cp:coreProperties>
</file>